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8B2546" w:rsidRPr="00536970" w:rsidTr="0053697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2546" w:rsidRPr="00536970" w:rsidRDefault="008B2546" w:rsidP="00536970">
            <w:pPr>
              <w:spacing w:line="320" w:lineRule="exact"/>
              <w:jc w:val="center"/>
              <w:rPr>
                <w:b/>
              </w:rPr>
            </w:pPr>
            <w:r w:rsidRPr="00536970">
              <w:rPr>
                <w:b/>
              </w:rPr>
              <w:t>TRECHO DA MINUTA A DISCUTIR OU ASPECTO NÃO PREVISTO QUE SE PROPÕE ABORDAR</w:t>
            </w:r>
          </w:p>
        </w:tc>
      </w:tr>
      <w:tr w:rsidR="008B2546" w:rsidRPr="00536970" w:rsidTr="00536970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46" w:rsidRPr="00536970" w:rsidRDefault="00536970" w:rsidP="00536970">
            <w:pPr>
              <w:autoSpaceDE w:val="0"/>
              <w:autoSpaceDN w:val="0"/>
              <w:adjustRightInd w:val="0"/>
              <w:spacing w:line="320" w:lineRule="exact"/>
              <w:jc w:val="both"/>
            </w:pPr>
            <w:r w:rsidRPr="00536970">
              <w:rPr>
                <w:b/>
              </w:rPr>
              <w:t xml:space="preserve">Anexo </w:t>
            </w:r>
            <w:proofErr w:type="gramStart"/>
            <w:r w:rsidRPr="00536970">
              <w:rPr>
                <w:b/>
              </w:rPr>
              <w:t>2</w:t>
            </w:r>
            <w:proofErr w:type="gramEnd"/>
            <w:r w:rsidRPr="00536970">
              <w:rPr>
                <w:b/>
              </w:rPr>
              <w:t xml:space="preserve"> do Contrato de Concessão - Item</w:t>
            </w:r>
            <w:r w:rsidR="008B2546" w:rsidRPr="00536970">
              <w:rPr>
                <w:b/>
              </w:rPr>
              <w:t xml:space="preserve"> 12.17.</w:t>
            </w:r>
            <w:r w:rsidR="008B2546" w:rsidRPr="00536970">
              <w:t xml:space="preserve"> </w:t>
            </w:r>
            <w:r w:rsidR="008B2546" w:rsidRPr="00536970">
              <w:rPr>
                <w:i/>
              </w:rPr>
              <w:t>“O fator Q produzirá efeitos no reajuste tarifário a partir do final do primeiro ano de operação integral do aeroporto pela Concessionária, contado como o ano civil seguinte ao ano em que for encerrada a Fase I-A</w:t>
            </w:r>
            <w:r w:rsidRPr="00536970">
              <w:rPr>
                <w:i/>
              </w:rPr>
              <w:t>.</w:t>
            </w:r>
            <w:r w:rsidR="008B2546" w:rsidRPr="00536970">
              <w:rPr>
                <w:i/>
              </w:rPr>
              <w:t>”</w:t>
            </w:r>
          </w:p>
          <w:p w:rsidR="008B2546" w:rsidRPr="00536970" w:rsidRDefault="008B2546" w:rsidP="00536970">
            <w:pPr>
              <w:autoSpaceDE w:val="0"/>
              <w:autoSpaceDN w:val="0"/>
              <w:adjustRightInd w:val="0"/>
              <w:spacing w:line="320" w:lineRule="exact"/>
              <w:rPr>
                <w:rFonts w:eastAsiaTheme="minorHAnsi"/>
                <w:color w:val="000000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7"/>
              <w:gridCol w:w="12542"/>
            </w:tblGrid>
            <w:tr w:rsidR="008B2546" w:rsidRPr="00536970" w:rsidTr="00536970">
              <w:trPr>
                <w:trHeight w:val="116"/>
              </w:trPr>
              <w:tc>
                <w:tcPr>
                  <w:tcW w:w="0" w:type="auto"/>
                  <w:gridSpan w:val="2"/>
                  <w:tcBorders>
                    <w:bottom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b/>
                    </w:rPr>
                    <w:t>Aeroporto de Confins</w:t>
                  </w:r>
                </w:p>
              </w:tc>
            </w:tr>
            <w:tr w:rsidR="008B2546" w:rsidRPr="00536970" w:rsidTr="00BB59EF">
              <w:trPr>
                <w:trHeight w:val="115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b/>
                      <w:color w:val="000000"/>
                      <w:lang w:eastAsia="en-US"/>
                    </w:rPr>
                    <w:t>Ano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b/>
                      <w:color w:val="000000"/>
                      <w:lang w:eastAsia="en-US"/>
                    </w:rPr>
                    <w:t>Evento</w:t>
                  </w:r>
                </w:p>
              </w:tc>
            </w:tr>
            <w:tr w:rsidR="008B2546" w:rsidRPr="00536970" w:rsidTr="00BB59EF">
              <w:trPr>
                <w:trHeight w:val="115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Término da Fase I-A </w:t>
                  </w:r>
                </w:p>
              </w:tc>
            </w:tr>
            <w:tr w:rsidR="008B2546" w:rsidRPr="00536970" w:rsidTr="00BB59EF">
              <w:trPr>
                <w:trHeight w:val="648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+ 1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Início de aferição do fator Q para efeitos de reajuste tarifário. Padrões de serviço estabelecidos pelos níveis definidos no Apêndice C, exceto para os indicadores d</w:t>
                  </w:r>
                  <w:bookmarkStart w:id="0" w:name="_GoBack"/>
                  <w:bookmarkEnd w:id="0"/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e disponibilidade de vagas de estacionamento e conforto e disponibilidade de assentos, que ainda não são aplicados. </w:t>
                  </w:r>
                </w:p>
              </w:tc>
            </w:tr>
            <w:tr w:rsidR="008B2546" w:rsidRPr="00536970" w:rsidTr="00BB59EF">
              <w:trPr>
                <w:trHeight w:val="530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+ 2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Reajuste tarifário com 100% do fator Q, referente ao desempenho no ano Y+1 para todos os indicadores de serviços, exceto para os indicadores de disponibilidade de vagas de estacionamento e conforto e disponibilidade de assentos. </w:t>
                  </w:r>
                </w:p>
              </w:tc>
            </w:tr>
            <w:tr w:rsidR="008B2546" w:rsidRPr="00536970" w:rsidTr="00BB59EF">
              <w:trPr>
                <w:trHeight w:val="530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+ 3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Reajuste tarifário com 100% do fator Q, referente ao desempenho no ano Y+2 para todos os indicadores de serviços, exceto para os indicadores de disponibilidade de vagas de estacionamento e conforto e disponibilidade de assentos. </w:t>
                  </w:r>
                </w:p>
              </w:tc>
            </w:tr>
            <w:tr w:rsidR="008B2546" w:rsidRPr="00536970" w:rsidTr="00BB59EF">
              <w:trPr>
                <w:trHeight w:val="530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+ 4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B2546" w:rsidRPr="00536970" w:rsidRDefault="008B2546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Reajuste tarifário com 100% do fator Q, referente ao desempenho no ano Y+3 para todos os indicadores de serviços, inclusive disponibilidade de vagas de estacionamento e confort</w:t>
                  </w:r>
                  <w:r w:rsidR="00BB59EF" w:rsidRPr="00536970">
                    <w:rPr>
                      <w:rFonts w:eastAsiaTheme="minorHAnsi"/>
                      <w:color w:val="000000"/>
                      <w:lang w:eastAsia="en-US"/>
                    </w:rPr>
                    <w:t>o e disponibilidade de assentos</w:t>
                  </w: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. </w:t>
                  </w:r>
                </w:p>
              </w:tc>
            </w:tr>
          </w:tbl>
          <w:p w:rsidR="008B2546" w:rsidRPr="00536970" w:rsidRDefault="008B2546" w:rsidP="00536970">
            <w:pPr>
              <w:autoSpaceDE w:val="0"/>
              <w:autoSpaceDN w:val="0"/>
              <w:adjustRightInd w:val="0"/>
              <w:spacing w:line="320" w:lineRule="exac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7"/>
              <w:gridCol w:w="12542"/>
            </w:tblGrid>
            <w:tr w:rsidR="006A7B98" w:rsidRPr="00536970" w:rsidTr="00536970">
              <w:trPr>
                <w:trHeight w:val="116"/>
              </w:trPr>
              <w:tc>
                <w:tcPr>
                  <w:tcW w:w="0" w:type="auto"/>
                  <w:gridSpan w:val="2"/>
                  <w:tcBorders>
                    <w:bottom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b/>
                    </w:rPr>
                    <w:t>Aeroporto de Galeão</w:t>
                  </w:r>
                </w:p>
              </w:tc>
            </w:tr>
            <w:tr w:rsidR="006A7B98" w:rsidRPr="00536970" w:rsidTr="00536970">
              <w:trPr>
                <w:trHeight w:val="115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b/>
                      <w:color w:val="000000"/>
                      <w:lang w:eastAsia="en-US"/>
                    </w:rPr>
                    <w:t>Ano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b/>
                      <w:color w:val="000000"/>
                      <w:lang w:eastAsia="en-US"/>
                    </w:rPr>
                    <w:t>Evento</w:t>
                  </w:r>
                </w:p>
              </w:tc>
            </w:tr>
            <w:tr w:rsidR="006A7B98" w:rsidRPr="00536970" w:rsidTr="00536970">
              <w:trPr>
                <w:trHeight w:val="115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Término da Fase I-A </w:t>
                  </w:r>
                </w:p>
              </w:tc>
            </w:tr>
            <w:tr w:rsidR="006A7B98" w:rsidRPr="00536970" w:rsidTr="001F2D79">
              <w:trPr>
                <w:trHeight w:val="533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+ 1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Início de aferição do fator Q para efeitos de reajuste tarifário. Padrões de serviço estabelecidos pelos níveis definid</w:t>
                  </w:r>
                  <w:r w:rsidR="00BD2AEA" w:rsidRPr="00536970">
                    <w:rPr>
                      <w:rFonts w:eastAsiaTheme="minorHAnsi"/>
                      <w:color w:val="000000"/>
                      <w:lang w:eastAsia="en-US"/>
                    </w:rPr>
                    <w:t>os no Apên</w:t>
                  </w:r>
                  <w:r w:rsidR="003708D0" w:rsidRPr="00536970">
                    <w:rPr>
                      <w:rFonts w:eastAsiaTheme="minorHAnsi"/>
                      <w:color w:val="000000"/>
                      <w:lang w:eastAsia="en-US"/>
                    </w:rPr>
                    <w:t>dice C, exceto para o indicador</w:t>
                  </w: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 de disponibilidade de vagas de estacionamento, que ainda não são aplicados. </w:t>
                  </w:r>
                </w:p>
              </w:tc>
            </w:tr>
            <w:tr w:rsidR="006A7B98" w:rsidRPr="00536970" w:rsidTr="00536970">
              <w:trPr>
                <w:trHeight w:val="530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+ 2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Reajuste tarifário com 100% do fator Q, referente ao desempenho no ano Y+1 para todos os indicadores de serviços</w:t>
                  </w:r>
                  <w:r w:rsidR="00BD2AEA"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 (exceto para o indicador</w:t>
                  </w: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 de disponibilidade de vagas de estacionamento</w:t>
                  </w:r>
                  <w:proofErr w:type="gramStart"/>
                  <w:r w:rsidR="00BD2AEA" w:rsidRPr="00536970">
                    <w:rPr>
                      <w:rFonts w:eastAsiaTheme="minorHAnsi"/>
                      <w:color w:val="000000"/>
                      <w:lang w:eastAsia="en-US"/>
                    </w:rPr>
                    <w:t>)</w:t>
                  </w:r>
                  <w:proofErr w:type="gramEnd"/>
                </w:p>
              </w:tc>
            </w:tr>
            <w:tr w:rsidR="006A7B98" w:rsidRPr="00536970" w:rsidTr="00536970">
              <w:trPr>
                <w:trHeight w:val="530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lastRenderedPageBreak/>
                    <w:t>Y + 3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7B98" w:rsidRPr="00536970" w:rsidRDefault="006A7B98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Reajuste tarifário com 100% do fator Q, referente ao desempenho no ano Y+2 para to</w:t>
                  </w:r>
                  <w:r w:rsidR="00BD2AEA" w:rsidRPr="00536970">
                    <w:rPr>
                      <w:rFonts w:eastAsiaTheme="minorHAnsi"/>
                      <w:color w:val="000000"/>
                      <w:lang w:eastAsia="en-US"/>
                    </w:rPr>
                    <w:t>dos os indicadores de serviços (inclusive disponibilidade de vagas de estacionamento</w:t>
                  </w:r>
                  <w:proofErr w:type="gramStart"/>
                  <w:r w:rsidR="00BD2AEA" w:rsidRPr="00536970">
                    <w:rPr>
                      <w:rFonts w:eastAsiaTheme="minorHAnsi"/>
                      <w:color w:val="000000"/>
                      <w:lang w:eastAsia="en-US"/>
                    </w:rPr>
                    <w:t>)</w:t>
                  </w:r>
                  <w:proofErr w:type="gramEnd"/>
                </w:p>
              </w:tc>
            </w:tr>
          </w:tbl>
          <w:p w:rsidR="008B2546" w:rsidRPr="00536970" w:rsidRDefault="008B2546" w:rsidP="00536970">
            <w:pPr>
              <w:autoSpaceDE w:val="0"/>
              <w:autoSpaceDN w:val="0"/>
              <w:adjustRightInd w:val="0"/>
              <w:spacing w:line="320" w:lineRule="exact"/>
            </w:pPr>
          </w:p>
          <w:p w:rsidR="008B2546" w:rsidRPr="00536970" w:rsidRDefault="008B2546" w:rsidP="00536970">
            <w:pPr>
              <w:autoSpaceDE w:val="0"/>
              <w:autoSpaceDN w:val="0"/>
              <w:adjustRightInd w:val="0"/>
              <w:spacing w:line="320" w:lineRule="exact"/>
            </w:pPr>
          </w:p>
        </w:tc>
      </w:tr>
      <w:tr w:rsidR="008B2546" w:rsidRPr="00536970" w:rsidTr="00536970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2546" w:rsidRPr="00536970" w:rsidRDefault="008B2546" w:rsidP="00536970">
            <w:pPr>
              <w:spacing w:line="320" w:lineRule="exact"/>
              <w:jc w:val="center"/>
              <w:rPr>
                <w:b/>
              </w:rPr>
            </w:pPr>
            <w:r w:rsidRPr="00536970">
              <w:rPr>
                <w:b/>
              </w:rPr>
              <w:lastRenderedPageBreak/>
              <w:t xml:space="preserve"> TEXTO SUGERIDO PARA ALTERAÇÃO OU INCLUSÃO</w:t>
            </w:r>
          </w:p>
        </w:tc>
      </w:tr>
      <w:tr w:rsidR="008B2546" w:rsidRPr="00536970" w:rsidTr="00536970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970" w:rsidRPr="00536970" w:rsidRDefault="00536970" w:rsidP="00536970">
            <w:pPr>
              <w:autoSpaceDE w:val="0"/>
              <w:autoSpaceDN w:val="0"/>
              <w:adjustRightInd w:val="0"/>
              <w:spacing w:line="320" w:lineRule="exact"/>
              <w:jc w:val="both"/>
            </w:pPr>
            <w:r w:rsidRPr="00536970">
              <w:rPr>
                <w:b/>
              </w:rPr>
              <w:t xml:space="preserve">Anexo </w:t>
            </w:r>
            <w:proofErr w:type="gramStart"/>
            <w:r w:rsidRPr="00536970">
              <w:rPr>
                <w:b/>
              </w:rPr>
              <w:t>2</w:t>
            </w:r>
            <w:proofErr w:type="gramEnd"/>
            <w:r w:rsidRPr="00536970">
              <w:rPr>
                <w:b/>
              </w:rPr>
              <w:t xml:space="preserve"> do Contrato de Concessão - Item 12.17.</w:t>
            </w:r>
            <w:r w:rsidRPr="00536970">
              <w:t xml:space="preserve"> </w:t>
            </w:r>
            <w:r w:rsidRPr="00536970">
              <w:rPr>
                <w:i/>
              </w:rPr>
              <w:t>“O fator Q produzirá efeitos no reajuste tarifário a partir do final do primeiro ano de operação integral do aeroporto pela Concessionária, contado como o ano civil seguinte ao ano em que for encerrada a Fase I-A.”</w:t>
            </w:r>
          </w:p>
          <w:p w:rsidR="00BB59EF" w:rsidRPr="00536970" w:rsidRDefault="00BB59EF" w:rsidP="00536970">
            <w:pPr>
              <w:pStyle w:val="Default"/>
              <w:spacing w:line="320" w:lineRule="exact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7"/>
              <w:gridCol w:w="12542"/>
            </w:tblGrid>
            <w:tr w:rsidR="00BB59EF" w:rsidRPr="00536970" w:rsidTr="00536970">
              <w:trPr>
                <w:trHeight w:val="116"/>
              </w:trPr>
              <w:tc>
                <w:tcPr>
                  <w:tcW w:w="0" w:type="auto"/>
                  <w:gridSpan w:val="2"/>
                  <w:tcBorders>
                    <w:bottom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b/>
                      <w:bCs/>
                      <w:color w:val="000000"/>
                      <w:lang w:eastAsia="en-US"/>
                    </w:rPr>
                    <w:t>Aeroporto de Confins</w:t>
                  </w:r>
                </w:p>
              </w:tc>
            </w:tr>
            <w:tr w:rsidR="00BB59EF" w:rsidRPr="00536970" w:rsidTr="00536970">
              <w:trPr>
                <w:trHeight w:val="115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b/>
                      <w:color w:val="000000"/>
                      <w:lang w:eastAsia="en-US"/>
                    </w:rPr>
                    <w:t>Ano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b/>
                      <w:color w:val="000000"/>
                      <w:lang w:eastAsia="en-US"/>
                    </w:rPr>
                    <w:t>Evento</w:t>
                  </w:r>
                </w:p>
              </w:tc>
            </w:tr>
            <w:tr w:rsidR="00BB59EF" w:rsidRPr="00536970" w:rsidTr="00536970">
              <w:trPr>
                <w:trHeight w:val="115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D2AEA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Término da Fase I-A</w:t>
                  </w:r>
                </w:p>
              </w:tc>
            </w:tr>
            <w:tr w:rsidR="00BB59EF" w:rsidRPr="00536970" w:rsidTr="00536970">
              <w:trPr>
                <w:trHeight w:val="648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+ 1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Início de aferição do fator Q para efeitos de reajuste tarifário. Padrões de serviço estabelecidos pelos níveis definidos no Apêndice C, exceto para os indicadores de disponibilidade de vaga</w:t>
                  </w:r>
                  <w:r w:rsidR="001F2D79" w:rsidRPr="00536970">
                    <w:rPr>
                      <w:rFonts w:eastAsiaTheme="minorHAnsi"/>
                      <w:color w:val="000000"/>
                      <w:lang w:eastAsia="en-US"/>
                    </w:rPr>
                    <w:t>s de estacionamento,</w:t>
                  </w: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 conforto, disponibilidade de assentos, área para formação de filas para inspeção de segurança, </w:t>
                  </w:r>
                  <w:r w:rsidR="001F2D79" w:rsidRPr="00536970">
                    <w:t xml:space="preserve">equipamento apropriado para embarque e desembarque de Passageiros com Necessidades de Assistência Especial, </w:t>
                  </w:r>
                  <w:r w:rsidR="001F2D79"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pontes de embarque, posições de pátio e atendimento de pontes de embarque, </w:t>
                  </w: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que ainda não são aplicados. </w:t>
                  </w:r>
                </w:p>
              </w:tc>
            </w:tr>
            <w:tr w:rsidR="00BB59EF" w:rsidRPr="00536970" w:rsidTr="00536970">
              <w:trPr>
                <w:trHeight w:val="530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+ 2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Reajuste tarifário com 100% do fator Q, referente ao desempenho no ano Y+1 para todos os indicadores de serviços, </w:t>
                  </w:r>
                  <w:r w:rsidR="001F2D79"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exceto para os indicadores de disponibilidade de vagas de estacionamento, conforto, disponibilidade de assentos, área para formação de filas para inspeção de segurança, </w:t>
                  </w:r>
                  <w:r w:rsidR="001F2D79" w:rsidRPr="00536970">
                    <w:t xml:space="preserve">equipamento apropriado para embarque e desembarque de Passageiros com Necessidades de Assistência Especial, </w:t>
                  </w:r>
                  <w:r w:rsidR="001F2D79" w:rsidRPr="00536970">
                    <w:rPr>
                      <w:rFonts w:eastAsiaTheme="minorHAnsi"/>
                      <w:color w:val="000000"/>
                      <w:lang w:eastAsia="en-US"/>
                    </w:rPr>
                    <w:t>pontes de embarque, posições de pátio e atendimento de pontes de embarque, que ainda não são aplicados.</w:t>
                  </w:r>
                </w:p>
              </w:tc>
            </w:tr>
            <w:tr w:rsidR="00BB59EF" w:rsidRPr="00536970" w:rsidTr="00536970">
              <w:trPr>
                <w:trHeight w:val="530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+ 3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Reajuste tarifário com 100% do fator Q, referente ao desempenho no ano Y+2 para todos os indicadores de serviços, exceto para os indicadores de disponibilidade de vagas de estacionamento e conforto e disponibilidade de assentos. </w:t>
                  </w:r>
                </w:p>
              </w:tc>
            </w:tr>
            <w:tr w:rsidR="00BB59EF" w:rsidRPr="00536970" w:rsidTr="00536970">
              <w:trPr>
                <w:trHeight w:val="530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+ 4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59EF" w:rsidRPr="00536970" w:rsidRDefault="00BB59EF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Reajuste tarifário com 100% do fator Q, referente ao desempenho no ano Y+3 para todos os indicadores de serviços, inclusive disponibilidade de vagas de estacionamento e conforto e disponibilidade de assentos. </w:t>
                  </w:r>
                </w:p>
              </w:tc>
            </w:tr>
          </w:tbl>
          <w:p w:rsidR="00BB59EF" w:rsidRPr="00536970" w:rsidRDefault="00BB59EF" w:rsidP="00536970">
            <w:pPr>
              <w:autoSpaceDE w:val="0"/>
              <w:autoSpaceDN w:val="0"/>
              <w:adjustRightInd w:val="0"/>
              <w:spacing w:line="320" w:lineRule="exac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7"/>
              <w:gridCol w:w="12542"/>
            </w:tblGrid>
            <w:tr w:rsidR="00E075F7" w:rsidRPr="00536970" w:rsidTr="00536970">
              <w:trPr>
                <w:trHeight w:val="116"/>
              </w:trPr>
              <w:tc>
                <w:tcPr>
                  <w:tcW w:w="0" w:type="auto"/>
                  <w:gridSpan w:val="2"/>
                  <w:tcBorders>
                    <w:bottom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b/>
                    </w:rPr>
                    <w:t>Aeroporto de Galeão</w:t>
                  </w:r>
                </w:p>
              </w:tc>
            </w:tr>
            <w:tr w:rsidR="00E075F7" w:rsidRPr="00536970" w:rsidTr="00536970">
              <w:trPr>
                <w:trHeight w:val="115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b/>
                      <w:color w:val="000000"/>
                      <w:lang w:eastAsia="en-US"/>
                    </w:rPr>
                    <w:t>Ano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b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b/>
                      <w:color w:val="000000"/>
                      <w:lang w:eastAsia="en-US"/>
                    </w:rPr>
                    <w:t>Evento</w:t>
                  </w:r>
                </w:p>
              </w:tc>
            </w:tr>
            <w:tr w:rsidR="00E075F7" w:rsidRPr="00536970" w:rsidTr="00536970">
              <w:trPr>
                <w:trHeight w:val="115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Término da Fase I-A </w:t>
                  </w:r>
                </w:p>
              </w:tc>
            </w:tr>
            <w:tr w:rsidR="00E075F7" w:rsidRPr="00536970" w:rsidTr="00536970">
              <w:trPr>
                <w:trHeight w:val="648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+ 1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Início de aferição do fator Q para efeitos de reajuste tarifário. Padrões de serviço estabelecidos pelos níveis definidos no Apêndice C, exceto para o</w:t>
                  </w:r>
                  <w:r w:rsidR="001F2D79" w:rsidRPr="00536970">
                    <w:rPr>
                      <w:rFonts w:eastAsiaTheme="minorHAnsi"/>
                      <w:color w:val="000000"/>
                      <w:lang w:eastAsia="en-US"/>
                    </w:rPr>
                    <w:t>s</w:t>
                  </w: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 indicador</w:t>
                  </w:r>
                  <w:r w:rsidR="001F2D79" w:rsidRPr="00536970">
                    <w:rPr>
                      <w:rFonts w:eastAsiaTheme="minorHAnsi"/>
                      <w:color w:val="000000"/>
                      <w:lang w:eastAsia="en-US"/>
                    </w:rPr>
                    <w:t>es</w:t>
                  </w: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 de disponibilidade de vagas de estacionamento</w:t>
                  </w:r>
                  <w:r w:rsidR="001F2D79"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, </w:t>
                  </w:r>
                  <w:r w:rsidR="001F2D79" w:rsidRPr="00536970">
                    <w:t xml:space="preserve">equipamento apropriado para embarque e desembarque de Passageiros com Necessidades de Assistência Especial, </w:t>
                  </w:r>
                  <w:r w:rsidR="001F2D79" w:rsidRPr="00536970">
                    <w:rPr>
                      <w:rFonts w:eastAsiaTheme="minorHAnsi"/>
                      <w:color w:val="000000"/>
                      <w:lang w:eastAsia="en-US"/>
                    </w:rPr>
                    <w:t>pontes de embarque, posições de pátio e atendimento de pontes de embarque,</w:t>
                  </w: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 que ainda não são aplicados. </w:t>
                  </w:r>
                </w:p>
              </w:tc>
            </w:tr>
            <w:tr w:rsidR="00E075F7" w:rsidRPr="00536970" w:rsidTr="006E6B43">
              <w:trPr>
                <w:trHeight w:val="283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+ 2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Reajuste tarifário com 100% do fator Q, referente ao desempenho no ano Y+1 para todos os indicadores de serviços</w:t>
                  </w:r>
                  <w:r w:rsidR="006E6B43" w:rsidRPr="00536970">
                    <w:rPr>
                      <w:rFonts w:eastAsiaTheme="minorHAnsi"/>
                      <w:color w:val="000000"/>
                      <w:lang w:eastAsia="en-US"/>
                    </w:rPr>
                    <w:t xml:space="preserve">, exceto para os indicadores de disponibilidade de vagas de estacionamento, </w:t>
                  </w:r>
                  <w:r w:rsidR="006E6B43" w:rsidRPr="00536970">
                    <w:t xml:space="preserve">equipamento apropriado para embarque e desembarque de Passageiros com Necessidades de Assistência Especial, </w:t>
                  </w:r>
                  <w:r w:rsidR="006E6B43" w:rsidRPr="00536970">
                    <w:rPr>
                      <w:rFonts w:eastAsiaTheme="minorHAnsi"/>
                      <w:color w:val="000000"/>
                      <w:lang w:eastAsia="en-US"/>
                    </w:rPr>
                    <w:t>pontes de embarque, posições de pátio e atendimento de pontes de embarque, que ainda não são aplicados.</w:t>
                  </w:r>
                </w:p>
              </w:tc>
            </w:tr>
            <w:tr w:rsidR="00E075F7" w:rsidRPr="00536970" w:rsidTr="00536970">
              <w:trPr>
                <w:trHeight w:val="530"/>
              </w:trPr>
              <w:tc>
                <w:tcPr>
                  <w:tcW w:w="8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Y + 3</w:t>
                  </w:r>
                </w:p>
              </w:tc>
              <w:tc>
                <w:tcPr>
                  <w:tcW w:w="12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75F7" w:rsidRPr="00536970" w:rsidRDefault="00E075F7" w:rsidP="00536970">
                  <w:pPr>
                    <w:autoSpaceDE w:val="0"/>
                    <w:autoSpaceDN w:val="0"/>
                    <w:adjustRightInd w:val="0"/>
                    <w:spacing w:line="320" w:lineRule="exact"/>
                    <w:jc w:val="both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536970">
                    <w:rPr>
                      <w:rFonts w:eastAsiaTheme="minorHAnsi"/>
                      <w:color w:val="000000"/>
                      <w:lang w:eastAsia="en-US"/>
                    </w:rPr>
                    <w:t>Reajuste tarifário com 100% do fator Q, referente ao desempenho no ano Y+2 para todos os indicadores de serviços (inclusive disponibilidade de vagas de estacionamento)</w:t>
                  </w:r>
                  <w:r w:rsidR="006E6B43" w:rsidRPr="00536970">
                    <w:rPr>
                      <w:rFonts w:eastAsiaTheme="minorHAnsi"/>
                      <w:color w:val="000000"/>
                      <w:lang w:eastAsia="en-US"/>
                    </w:rPr>
                    <w:t>.</w:t>
                  </w:r>
                </w:p>
              </w:tc>
            </w:tr>
          </w:tbl>
          <w:p w:rsidR="00BB59EF" w:rsidRPr="00536970" w:rsidRDefault="00BB59EF" w:rsidP="00536970">
            <w:pPr>
              <w:pStyle w:val="Default"/>
              <w:spacing w:line="320" w:lineRule="exact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</w:p>
          <w:p w:rsidR="00BB59EF" w:rsidRPr="00536970" w:rsidRDefault="00BB59EF" w:rsidP="00536970">
            <w:pPr>
              <w:pStyle w:val="Default"/>
              <w:spacing w:line="320" w:lineRule="exact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</w:p>
          <w:p w:rsidR="00BB59EF" w:rsidRPr="00536970" w:rsidRDefault="00BB59EF" w:rsidP="00536970">
            <w:pPr>
              <w:pStyle w:val="Default"/>
              <w:spacing w:line="320" w:lineRule="exact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8B2546" w:rsidRPr="00536970" w:rsidTr="00536970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2546" w:rsidRPr="00536970" w:rsidRDefault="008B2546" w:rsidP="00536970">
            <w:pPr>
              <w:spacing w:line="320" w:lineRule="exact"/>
              <w:jc w:val="center"/>
              <w:rPr>
                <w:b/>
              </w:rPr>
            </w:pPr>
            <w:r w:rsidRPr="00536970">
              <w:rPr>
                <w:b/>
              </w:rPr>
              <w:lastRenderedPageBreak/>
              <w:t>JUSTIFICATIVA</w:t>
            </w:r>
          </w:p>
        </w:tc>
      </w:tr>
      <w:tr w:rsidR="008B2546" w:rsidRPr="00536970" w:rsidTr="00536970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546" w:rsidRPr="00536970" w:rsidRDefault="006E6B43" w:rsidP="00536970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536970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Conforme descrito acima, f</w:t>
            </w:r>
            <w:r w:rsidR="008B2546" w:rsidRPr="00536970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az-se necessário </w:t>
            </w:r>
            <w:r w:rsidRPr="00536970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excluir os elementos na </w:t>
            </w:r>
            <w:r w:rsidR="008B2546" w:rsidRPr="00536970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aferição do fator Q para efeitos de reajuste tarifário</w:t>
            </w:r>
            <w:r w:rsidRPr="00536970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que dependem diretamente da adequação da infraestrutura pela Concessionária contempladas na Fase I-B, </w:t>
            </w:r>
            <w:r w:rsidR="008B2546" w:rsidRPr="00536970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uma vez que os padrões de serviço estabelecidos pelos níveis definidos no Apêndice C somente podem ser </w:t>
            </w:r>
            <w:r w:rsidRPr="00536970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atendidos completamente quando as melhorias da infraestrutura contempladas na Fase I-B estiverem plenamente operacionais.</w:t>
            </w:r>
          </w:p>
          <w:p w:rsidR="006E6B43" w:rsidRPr="00536970" w:rsidRDefault="006E6B43" w:rsidP="00536970">
            <w:pPr>
              <w:pStyle w:val="Default"/>
              <w:spacing w:line="320" w:lineRule="exac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6F154C" w:rsidRPr="00536970" w:rsidRDefault="00F93C4D" w:rsidP="00536970">
      <w:pPr>
        <w:spacing w:line="320" w:lineRule="exact"/>
        <w:ind w:left="360"/>
      </w:pPr>
      <w:r w:rsidRPr="00536970">
        <w:t xml:space="preserve"> </w:t>
      </w:r>
    </w:p>
    <w:sectPr w:rsidR="006F154C" w:rsidRPr="00536970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B2"/>
    <w:rsid w:val="00021C9C"/>
    <w:rsid w:val="00065EBC"/>
    <w:rsid w:val="00182894"/>
    <w:rsid w:val="001E7CFC"/>
    <w:rsid w:val="001F2D79"/>
    <w:rsid w:val="00243DE8"/>
    <w:rsid w:val="002467A8"/>
    <w:rsid w:val="002877A1"/>
    <w:rsid w:val="002D213C"/>
    <w:rsid w:val="002E53B3"/>
    <w:rsid w:val="00312DE0"/>
    <w:rsid w:val="003708D0"/>
    <w:rsid w:val="00536970"/>
    <w:rsid w:val="00596AD7"/>
    <w:rsid w:val="006A7B98"/>
    <w:rsid w:val="006B7290"/>
    <w:rsid w:val="006E6B43"/>
    <w:rsid w:val="006F154C"/>
    <w:rsid w:val="00747A91"/>
    <w:rsid w:val="007B5B68"/>
    <w:rsid w:val="007C2860"/>
    <w:rsid w:val="008A3832"/>
    <w:rsid w:val="008B2546"/>
    <w:rsid w:val="0096111E"/>
    <w:rsid w:val="00974D0E"/>
    <w:rsid w:val="00A00929"/>
    <w:rsid w:val="00A17A0F"/>
    <w:rsid w:val="00A32993"/>
    <w:rsid w:val="00A476C5"/>
    <w:rsid w:val="00AD4E44"/>
    <w:rsid w:val="00B050B2"/>
    <w:rsid w:val="00BB59EF"/>
    <w:rsid w:val="00BD2AEA"/>
    <w:rsid w:val="00BE0B76"/>
    <w:rsid w:val="00C15ED8"/>
    <w:rsid w:val="00C55913"/>
    <w:rsid w:val="00D337FB"/>
    <w:rsid w:val="00D453AA"/>
    <w:rsid w:val="00D6453B"/>
    <w:rsid w:val="00D73986"/>
    <w:rsid w:val="00D94CD6"/>
    <w:rsid w:val="00D96523"/>
    <w:rsid w:val="00DB69DB"/>
    <w:rsid w:val="00E075F7"/>
    <w:rsid w:val="00E37702"/>
    <w:rsid w:val="00F9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99"/>
    <w:qFormat/>
    <w:rsid w:val="001828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99"/>
    <w:qFormat/>
    <w:rsid w:val="00182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7FCB2-94CD-44CD-BFE4-2D1E61965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849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3</cp:revision>
  <dcterms:created xsi:type="dcterms:W3CDTF">2013-06-28T21:37:00Z</dcterms:created>
  <dcterms:modified xsi:type="dcterms:W3CDTF">2013-06-28T21:55:00Z</dcterms:modified>
</cp:coreProperties>
</file>